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6423" w:rsidR="005A6423" w:rsidP="005A6423" w:rsidRDefault="005A6423" w14:paraId="3BCF5FA5" w14:textId="490389E2">
      <w:pPr>
        <w:pStyle w:val="Heading1"/>
      </w:pPr>
      <w:r w:rsidRPr="005A6423">
        <w:t>Redaction Justification Matrix</w:t>
      </w:r>
    </w:p>
    <w:p w:rsidR="005A6423" w:rsidRDefault="005A6423" w14:paraId="781F9049" w14:textId="77777777"/>
    <w:p w:rsidR="00DA4BDB" w:rsidRDefault="00557C42" w14:paraId="3F010A0E" w14:textId="77777777">
      <w:r>
        <w:t>Alivia’s proposal contains content considered trade secret</w:t>
      </w:r>
      <w:r w:rsidR="00DA4BDB">
        <w:t>, proprietary,</w:t>
      </w:r>
      <w:r>
        <w:t xml:space="preserve"> </w:t>
      </w:r>
      <w:r w:rsidR="00B82B17">
        <w:t>and</w:t>
      </w:r>
      <w:r w:rsidR="00DA4BDB">
        <w:t xml:space="preserve"> a significant competitive advantage</w:t>
      </w:r>
      <w:r w:rsidR="00B82B17">
        <w:t xml:space="preserve"> </w:t>
      </w:r>
      <w:r>
        <w:t xml:space="preserve">which if </w:t>
      </w:r>
      <w:r w:rsidR="00902DFA">
        <w:t>disclosed</w:t>
      </w:r>
      <w:r>
        <w:t xml:space="preserve"> would cause substantial injury to Alivia’s competitive position and intellectual property. </w:t>
      </w:r>
      <w:r w:rsidR="002E653A">
        <w:t>Alivia goes to great lengths</w:t>
      </w:r>
      <w:r w:rsidR="00B82B17">
        <w:t xml:space="preserve"> and has made significant investments</w:t>
      </w:r>
      <w:r w:rsidR="002E653A">
        <w:t xml:space="preserve"> to keep this information private and </w:t>
      </w:r>
      <w:r w:rsidR="00B82B17">
        <w:t>closely held</w:t>
      </w:r>
      <w:r w:rsidR="002E653A">
        <w:t xml:space="preserve">.  This information has inherent economic value to Alivia and is not known to others.  </w:t>
      </w:r>
      <w:r w:rsidR="00B82B17">
        <w:t xml:space="preserve">In addition, </w:t>
      </w:r>
      <w:r w:rsidRPr="00B82B17" w:rsidR="00B82B17">
        <w:t xml:space="preserve">disclosure of the information could reasonably be expected to result in unfair competitive injury to </w:t>
      </w:r>
      <w:r w:rsidR="00B82B17">
        <w:t>Alivia</w:t>
      </w:r>
      <w:r w:rsidR="00DA4BDB">
        <w:t xml:space="preserve"> and serve no public purpose</w:t>
      </w:r>
      <w:r w:rsidR="00B82B17">
        <w:t xml:space="preserve">. </w:t>
      </w:r>
    </w:p>
    <w:p w:rsidR="00701753" w:rsidRDefault="00B82B17" w14:paraId="1EFF0BBF" w14:textId="0269D2F3">
      <w:r w:rsidR="2ED87A25">
        <w:rPr/>
        <w:t>Therefore, Alivia</w:t>
      </w:r>
      <w:r w:rsidR="00557C42">
        <w:rPr/>
        <w:t xml:space="preserve"> request</w:t>
      </w:r>
      <w:r w:rsidR="00B82B17">
        <w:rPr/>
        <w:t>s</w:t>
      </w:r>
      <w:r w:rsidR="00557C42">
        <w:rPr/>
        <w:t xml:space="preserve"> that </w:t>
      </w:r>
      <w:r w:rsidR="00DA4BDB">
        <w:rPr/>
        <w:t>Nebraska DHHS</w:t>
      </w:r>
      <w:r w:rsidR="00557C42">
        <w:rPr/>
        <w:t xml:space="preserve"> protect from further disclosure or dissemination the portions of </w:t>
      </w:r>
      <w:r w:rsidR="002B2273">
        <w:rPr/>
        <w:t>its</w:t>
      </w:r>
      <w:r w:rsidR="00557C42">
        <w:rPr/>
        <w:t xml:space="preserve"> proposal listed below and redacted in the provided copies marked “redacted</w:t>
      </w:r>
      <w:r w:rsidR="00557C42">
        <w:rPr/>
        <w:t>”.</w:t>
      </w:r>
      <w:r w:rsidR="00557C42">
        <w:rPr/>
        <w:t xml:space="preserve"> The table below provides </w:t>
      </w:r>
      <w:r w:rsidR="48BD24F5">
        <w:rPr/>
        <w:t>a written</w:t>
      </w:r>
      <w:r w:rsidR="00557C42">
        <w:rPr/>
        <w:t xml:space="preserve"> justification for </w:t>
      </w:r>
      <w:r w:rsidR="00B82B17">
        <w:rPr/>
        <w:t xml:space="preserve">each </w:t>
      </w:r>
      <w:r w:rsidR="21876BE4">
        <w:rPr/>
        <w:t>redaction to</w:t>
      </w:r>
      <w:r w:rsidR="00557C42">
        <w:rPr/>
        <w:t xml:space="preserve"> support </w:t>
      </w:r>
      <w:r w:rsidR="00B82B17">
        <w:rPr/>
        <w:t>Alivia’s</w:t>
      </w:r>
      <w:r w:rsidR="00557C42">
        <w:rPr/>
        <w:t xml:space="preserve"> </w:t>
      </w:r>
      <w:r w:rsidR="00902DFA">
        <w:rPr/>
        <w:t>request for exemption from disclosure or dissemination.</w:t>
      </w:r>
    </w:p>
    <w:p w:rsidR="00F663DD" w:rsidRDefault="00F663DD" w14:paraId="7338182C" w14:textId="77777777"/>
    <w:p w:rsidR="00557C42" w:rsidRDefault="00557C42" w14:paraId="1535D69A" w14:textId="77777777"/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700"/>
        <w:gridCol w:w="1704"/>
        <w:gridCol w:w="5046"/>
      </w:tblGrid>
      <w:tr w:rsidR="00557C42" w:rsidTr="00E42219" w14:paraId="063004DA" w14:textId="77777777">
        <w:tc>
          <w:tcPr>
            <w:tcW w:w="2700" w:type="dxa"/>
            <w:shd w:val="clear" w:color="auto" w:fill="95DCF7" w:themeFill="accent4" w:themeFillTint="66"/>
          </w:tcPr>
          <w:p w:rsidRPr="00902DFA" w:rsidR="00557C42" w:rsidP="00557C42" w:rsidRDefault="00557C42" w14:paraId="0C2186AF" w14:textId="43B136AA">
            <w:pPr>
              <w:jc w:val="center"/>
              <w:rPr>
                <w:b/>
                <w:bCs/>
                <w:sz w:val="20"/>
                <w:szCs w:val="20"/>
              </w:rPr>
            </w:pPr>
            <w:r w:rsidRPr="00902DFA">
              <w:rPr>
                <w:b/>
                <w:bCs/>
                <w:sz w:val="20"/>
                <w:szCs w:val="20"/>
              </w:rPr>
              <w:t>Alivia Proposal Section Number &amp; Name</w:t>
            </w:r>
          </w:p>
        </w:tc>
        <w:tc>
          <w:tcPr>
            <w:tcW w:w="1704" w:type="dxa"/>
            <w:shd w:val="clear" w:color="auto" w:fill="95DCF7" w:themeFill="accent4" w:themeFillTint="66"/>
          </w:tcPr>
          <w:p w:rsidRPr="00902DFA" w:rsidR="00557C42" w:rsidP="00557C42" w:rsidRDefault="00557C42" w14:paraId="7D3898CC" w14:textId="636BE2D5">
            <w:pPr>
              <w:jc w:val="center"/>
              <w:rPr>
                <w:b/>
                <w:bCs/>
                <w:sz w:val="20"/>
                <w:szCs w:val="20"/>
              </w:rPr>
            </w:pPr>
            <w:r w:rsidRPr="00902DFA">
              <w:rPr>
                <w:b/>
                <w:bCs/>
                <w:sz w:val="20"/>
                <w:szCs w:val="20"/>
              </w:rPr>
              <w:t>Alivia Proposal Page(s)</w:t>
            </w:r>
          </w:p>
        </w:tc>
        <w:tc>
          <w:tcPr>
            <w:tcW w:w="5046" w:type="dxa"/>
            <w:shd w:val="clear" w:color="auto" w:fill="95DCF7" w:themeFill="accent4" w:themeFillTint="66"/>
          </w:tcPr>
          <w:p w:rsidRPr="00902DFA" w:rsidR="00557C42" w:rsidP="00557C42" w:rsidRDefault="00557C42" w14:paraId="7F4AD745" w14:textId="49CBB7C4">
            <w:pPr>
              <w:jc w:val="center"/>
              <w:rPr>
                <w:b/>
                <w:bCs/>
                <w:sz w:val="20"/>
                <w:szCs w:val="20"/>
              </w:rPr>
            </w:pPr>
            <w:r w:rsidRPr="00902DFA">
              <w:rPr>
                <w:b/>
                <w:bCs/>
                <w:sz w:val="20"/>
                <w:szCs w:val="20"/>
              </w:rPr>
              <w:t>Redaction Justification</w:t>
            </w:r>
          </w:p>
        </w:tc>
      </w:tr>
      <w:tr w:rsidR="00557C42" w:rsidTr="00E42219" w14:paraId="60234BCF" w14:textId="77777777">
        <w:tc>
          <w:tcPr>
            <w:tcW w:w="2700" w:type="dxa"/>
          </w:tcPr>
          <w:p w:rsidRPr="00902DFA" w:rsidR="00557C42" w:rsidP="00557C42" w:rsidRDefault="00DA4BDB" w14:paraId="7B36C22F" w14:textId="3F24C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3 – Technical Specifications</w:t>
            </w:r>
          </w:p>
        </w:tc>
        <w:tc>
          <w:tcPr>
            <w:tcW w:w="1704" w:type="dxa"/>
          </w:tcPr>
          <w:p w:rsidRPr="00902DFA" w:rsidR="00557C42" w:rsidP="00557C42" w:rsidRDefault="00DA4BDB" w14:paraId="7EC47E9B" w14:textId="6FA4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Pages for this specific section</w:t>
            </w:r>
          </w:p>
        </w:tc>
        <w:tc>
          <w:tcPr>
            <w:tcW w:w="5046" w:type="dxa"/>
          </w:tcPr>
          <w:p w:rsidR="00557C42" w:rsidP="00557C42" w:rsidRDefault="00557C42" w14:paraId="42E240BD" w14:textId="5D360626">
            <w:pPr>
              <w:ind w:right="-115"/>
              <w:rPr>
                <w:sz w:val="20"/>
                <w:szCs w:val="20"/>
              </w:rPr>
            </w:pPr>
            <w:r w:rsidRPr="00902DFA">
              <w:rPr>
                <w:sz w:val="20"/>
                <w:szCs w:val="20"/>
              </w:rPr>
              <w:t xml:space="preserve">These pages illustrate the proprietary process and </w:t>
            </w:r>
            <w:r w:rsidR="00902DFA">
              <w:rPr>
                <w:sz w:val="20"/>
                <w:szCs w:val="20"/>
              </w:rPr>
              <w:t xml:space="preserve">technical </w:t>
            </w:r>
            <w:r w:rsidRPr="00902DFA">
              <w:rPr>
                <w:sz w:val="20"/>
                <w:szCs w:val="20"/>
              </w:rPr>
              <w:t xml:space="preserve">architecture that Alivia utilizes for its end-to-end </w:t>
            </w:r>
            <w:r w:rsidR="00DA4BDB">
              <w:rPr>
                <w:sz w:val="20"/>
                <w:szCs w:val="20"/>
              </w:rPr>
              <w:t>FWA/PICM</w:t>
            </w:r>
            <w:r w:rsidRPr="00902DFA">
              <w:rPr>
                <w:sz w:val="20"/>
                <w:szCs w:val="20"/>
              </w:rPr>
              <w:t xml:space="preserve"> platform. Disclosure to other parties would cause Alivia to suffer a competitive disadvantage</w:t>
            </w:r>
            <w:r w:rsidR="00DA4BDB">
              <w:rPr>
                <w:sz w:val="20"/>
                <w:szCs w:val="20"/>
              </w:rPr>
              <w:t xml:space="preserve"> and provide details on technical functionality</w:t>
            </w:r>
            <w:r w:rsidRPr="00902DFA">
              <w:rPr>
                <w:sz w:val="20"/>
                <w:szCs w:val="20"/>
              </w:rPr>
              <w:t>. The step-by-step techniques</w:t>
            </w:r>
            <w:r w:rsidR="00DA4BDB">
              <w:rPr>
                <w:sz w:val="20"/>
                <w:szCs w:val="20"/>
              </w:rPr>
              <w:t>, processes and infrastructure</w:t>
            </w:r>
            <w:r w:rsidRPr="00902DFA">
              <w:rPr>
                <w:sz w:val="20"/>
                <w:szCs w:val="20"/>
              </w:rPr>
              <w:t xml:space="preserve"> from which we derive economic value are not generally ascertainable by our competitors, and disclosure of these proprietary methods will diminish and irreparably damage the competitive position of Alivia.</w:t>
            </w:r>
          </w:p>
          <w:p w:rsidRPr="00902DFA" w:rsidR="00DA4BDB" w:rsidP="00557C42" w:rsidRDefault="00DA4BDB" w14:paraId="5339F1F9" w14:textId="7CD29B1E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released, this information would give a business advantage to all competitors, especially Gainwell Technologies, </w:t>
            </w:r>
            <w:proofErr w:type="spellStart"/>
            <w:r>
              <w:rPr>
                <w:sz w:val="20"/>
                <w:szCs w:val="20"/>
              </w:rPr>
              <w:t>PulseLight</w:t>
            </w:r>
            <w:proofErr w:type="spellEnd"/>
            <w:r>
              <w:rPr>
                <w:sz w:val="20"/>
                <w:szCs w:val="20"/>
              </w:rPr>
              <w:t xml:space="preserve">, IBM, Deloitte, </w:t>
            </w:r>
            <w:proofErr w:type="spellStart"/>
            <w:r>
              <w:rPr>
                <w:sz w:val="20"/>
                <w:szCs w:val="20"/>
              </w:rPr>
              <w:t>Machinify</w:t>
            </w:r>
            <w:proofErr w:type="spellEnd"/>
            <w:r>
              <w:rPr>
                <w:sz w:val="20"/>
                <w:szCs w:val="20"/>
              </w:rPr>
              <w:t>, Thomson Reuters, Performant, and any others in the technology and program integrity space. Further the release of this information would serve no public purpose.</w:t>
            </w:r>
          </w:p>
        </w:tc>
      </w:tr>
      <w:tr w:rsidR="00557C42" w:rsidTr="00E42219" w14:paraId="698E689C" w14:textId="77777777">
        <w:tc>
          <w:tcPr>
            <w:tcW w:w="2700" w:type="dxa"/>
          </w:tcPr>
          <w:p w:rsidRPr="00902DFA" w:rsidR="00557C42" w:rsidP="00557C42" w:rsidRDefault="00DA4BDB" w14:paraId="452038B6" w14:textId="4134F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Attachment 2 – Functional Specifications</w:t>
            </w:r>
          </w:p>
        </w:tc>
        <w:tc>
          <w:tcPr>
            <w:tcW w:w="1704" w:type="dxa"/>
          </w:tcPr>
          <w:p w:rsidRPr="00902DFA" w:rsidR="00557C42" w:rsidP="00557C42" w:rsidRDefault="00DA4BDB" w14:paraId="002C8945" w14:textId="29880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Pages for this specific section</w:t>
            </w:r>
          </w:p>
        </w:tc>
        <w:tc>
          <w:tcPr>
            <w:tcW w:w="5046" w:type="dxa"/>
          </w:tcPr>
          <w:p w:rsidR="00DA4BDB" w:rsidP="00DA4BDB" w:rsidRDefault="00DA4BDB" w14:paraId="7C416E08" w14:textId="387031E4">
            <w:pPr>
              <w:ind w:right="-115"/>
              <w:rPr>
                <w:sz w:val="20"/>
                <w:szCs w:val="20"/>
              </w:rPr>
            </w:pPr>
            <w:r w:rsidRPr="00902DFA">
              <w:rPr>
                <w:sz w:val="20"/>
                <w:szCs w:val="20"/>
              </w:rPr>
              <w:t>These pages illustrate the proprietary process</w:t>
            </w:r>
            <w:r>
              <w:rPr>
                <w:sz w:val="20"/>
                <w:szCs w:val="20"/>
              </w:rPr>
              <w:t>, functionality, trade secrets, and screenshots of the application</w:t>
            </w:r>
            <w:r w:rsidRPr="00902DFA">
              <w:rPr>
                <w:sz w:val="20"/>
                <w:szCs w:val="20"/>
              </w:rPr>
              <w:t xml:space="preserve"> that Alivia utilizes for its end-to-end </w:t>
            </w:r>
            <w:r>
              <w:rPr>
                <w:sz w:val="20"/>
                <w:szCs w:val="20"/>
              </w:rPr>
              <w:t>FWA/PICM</w:t>
            </w:r>
            <w:r w:rsidRPr="00902DFA">
              <w:rPr>
                <w:sz w:val="20"/>
                <w:szCs w:val="20"/>
              </w:rPr>
              <w:t xml:space="preserve"> platform. Disclosure to other parties would cause Alivia to suffer a competitive disadvantage</w:t>
            </w:r>
            <w:r>
              <w:rPr>
                <w:sz w:val="20"/>
                <w:szCs w:val="20"/>
              </w:rPr>
              <w:t xml:space="preserve"> and provide details on technical functionality</w:t>
            </w:r>
            <w:r w:rsidRPr="00902DFA">
              <w:rPr>
                <w:sz w:val="20"/>
                <w:szCs w:val="20"/>
              </w:rPr>
              <w:t>. The step-by-step techniques</w:t>
            </w:r>
            <w:r>
              <w:rPr>
                <w:sz w:val="20"/>
                <w:szCs w:val="20"/>
              </w:rPr>
              <w:t>, processes and infrastructure</w:t>
            </w:r>
            <w:r w:rsidRPr="00902DFA">
              <w:rPr>
                <w:sz w:val="20"/>
                <w:szCs w:val="20"/>
              </w:rPr>
              <w:t xml:space="preserve"> from which we derive economic value are not generally ascertainable by our competitors, and disclosure of these proprietary methods will diminish and irreparably damage the competitive position of Alivia.</w:t>
            </w:r>
          </w:p>
          <w:p w:rsidRPr="00902DFA" w:rsidR="00557C42" w:rsidP="00DA4BDB" w:rsidRDefault="00DA4BDB" w14:paraId="479AC5CD" w14:textId="75272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released, this information would give a business advantage to all competitors, especially Gainwell </w:t>
            </w:r>
            <w:r>
              <w:rPr>
                <w:sz w:val="20"/>
                <w:szCs w:val="20"/>
              </w:rPr>
              <w:lastRenderedPageBreak/>
              <w:t xml:space="preserve">Technologies, </w:t>
            </w:r>
            <w:proofErr w:type="spellStart"/>
            <w:r>
              <w:rPr>
                <w:sz w:val="20"/>
                <w:szCs w:val="20"/>
              </w:rPr>
              <w:t>PulseLight</w:t>
            </w:r>
            <w:proofErr w:type="spellEnd"/>
            <w:r>
              <w:rPr>
                <w:sz w:val="20"/>
                <w:szCs w:val="20"/>
              </w:rPr>
              <w:t xml:space="preserve">, IBM, Deloitte, </w:t>
            </w:r>
            <w:proofErr w:type="spellStart"/>
            <w:r>
              <w:rPr>
                <w:sz w:val="20"/>
                <w:szCs w:val="20"/>
              </w:rPr>
              <w:t>Machinify</w:t>
            </w:r>
            <w:proofErr w:type="spellEnd"/>
            <w:r>
              <w:rPr>
                <w:sz w:val="20"/>
                <w:szCs w:val="20"/>
              </w:rPr>
              <w:t>, Thomson Reuters, Performant, and any others in the technology and program integrity space. Further the release of this information would serve no public purpose.</w:t>
            </w:r>
          </w:p>
        </w:tc>
      </w:tr>
    </w:tbl>
    <w:p w:rsidR="00557C42" w:rsidRDefault="00557C42" w14:paraId="563FB989" w14:textId="77777777"/>
    <w:sectPr w:rsidR="00557C42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19E" w:rsidP="00DA4BDB" w:rsidRDefault="0071119E" w14:paraId="31CCA9ED" w14:textId="77777777">
      <w:r>
        <w:separator/>
      </w:r>
    </w:p>
  </w:endnote>
  <w:endnote w:type="continuationSeparator" w:id="0">
    <w:p w:rsidR="0071119E" w:rsidP="00DA4BDB" w:rsidRDefault="0071119E" w14:paraId="70825F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19E" w:rsidP="00DA4BDB" w:rsidRDefault="0071119E" w14:paraId="189D81F5" w14:textId="77777777">
      <w:r>
        <w:separator/>
      </w:r>
    </w:p>
  </w:footnote>
  <w:footnote w:type="continuationSeparator" w:id="0">
    <w:p w:rsidR="0071119E" w:rsidP="00DA4BDB" w:rsidRDefault="0071119E" w14:paraId="2E8A964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4BDB" w:rsidP="00DA4BDB" w:rsidRDefault="00DA4BDB" w14:paraId="0C3565D6" w14:textId="77777777">
    <w:pPr>
      <w:pStyle w:val="Header"/>
      <w:ind w:right="-720"/>
      <w:rPr>
        <w:rFonts w:cs="Arial"/>
        <w:noProof/>
        <w:sz w:val="18"/>
        <w:szCs w:val="18"/>
      </w:rPr>
    </w:pPr>
    <w:r>
      <w:rPr>
        <w:noProof/>
        <w:szCs w:val="48"/>
      </w:rPr>
      <w:drawing>
        <wp:anchor distT="0" distB="0" distL="114300" distR="114300" simplePos="0" relativeHeight="251659264" behindDoc="0" locked="0" layoutInCell="1" allowOverlap="1" wp14:anchorId="7B1CDF22" wp14:editId="1DA9243F">
          <wp:simplePos x="0" y="0"/>
          <wp:positionH relativeFrom="margin">
            <wp:posOffset>5341620</wp:posOffset>
          </wp:positionH>
          <wp:positionV relativeFrom="paragraph">
            <wp:posOffset>-30480</wp:posOffset>
          </wp:positionV>
          <wp:extent cx="739140" cy="275590"/>
          <wp:effectExtent l="0" t="0" r="3810" b="0"/>
          <wp:wrapSquare wrapText="bothSides"/>
          <wp:docPr id="569457565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7578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275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4D4E">
      <w:rPr>
        <w:rFonts w:cs="Arial"/>
        <w:noProof/>
        <w:sz w:val="18"/>
        <w:szCs w:val="18"/>
      </w:rPr>
      <w:t>R</w:t>
    </w:r>
    <w:r>
      <w:rPr>
        <w:rFonts w:cs="Arial"/>
        <w:noProof/>
        <w:sz w:val="18"/>
        <w:szCs w:val="18"/>
      </w:rPr>
      <w:t xml:space="preserve">esponse to Nebraska RFP </w:t>
    </w:r>
    <w:r w:rsidRPr="000C4D4E">
      <w:rPr>
        <w:rFonts w:cs="Arial"/>
        <w:noProof/>
        <w:sz w:val="18"/>
        <w:szCs w:val="18"/>
      </w:rPr>
      <w:t>#122125</w:t>
    </w:r>
    <w:r>
      <w:rPr>
        <w:rFonts w:cs="Arial"/>
        <w:noProof/>
        <w:sz w:val="18"/>
        <w:szCs w:val="18"/>
      </w:rPr>
      <w:t xml:space="preserve">  Program Integrity Case Mgmt (PCIM) / </w:t>
    </w:r>
  </w:p>
  <w:p w:rsidRPr="0035048B" w:rsidR="00DA4BDB" w:rsidP="00DA4BDB" w:rsidRDefault="00DA4BDB" w14:paraId="77906FC5" w14:textId="77777777">
    <w:pPr>
      <w:pStyle w:val="Header"/>
      <w:ind w:right="-720"/>
      <w:rPr>
        <w:rFonts w:cs="Arial"/>
        <w:noProof/>
        <w:sz w:val="18"/>
        <w:szCs w:val="18"/>
      </w:rPr>
    </w:pPr>
    <w:r>
      <w:rPr>
        <w:rFonts w:cs="Arial"/>
        <w:noProof/>
        <w:sz w:val="18"/>
        <w:szCs w:val="18"/>
      </w:rPr>
      <w:t>Fraud Abuse Detection (FAD) Analytics Solution</w:t>
    </w:r>
  </w:p>
  <w:p w:rsidRPr="00DA4BDB" w:rsidR="00DA4BDB" w:rsidP="00DA4BDB" w:rsidRDefault="00DA4BDB" w14:paraId="39A633C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B7"/>
    <w:rsid w:val="00024507"/>
    <w:rsid w:val="00024604"/>
    <w:rsid w:val="00034D80"/>
    <w:rsid w:val="00174A85"/>
    <w:rsid w:val="001B759F"/>
    <w:rsid w:val="001C6360"/>
    <w:rsid w:val="001E697A"/>
    <w:rsid w:val="0022458B"/>
    <w:rsid w:val="002266B7"/>
    <w:rsid w:val="002B2273"/>
    <w:rsid w:val="002E653A"/>
    <w:rsid w:val="003D3826"/>
    <w:rsid w:val="004B748B"/>
    <w:rsid w:val="00557C42"/>
    <w:rsid w:val="005A6423"/>
    <w:rsid w:val="00701753"/>
    <w:rsid w:val="0071119E"/>
    <w:rsid w:val="00902DFA"/>
    <w:rsid w:val="00B1706C"/>
    <w:rsid w:val="00B82B17"/>
    <w:rsid w:val="00C84471"/>
    <w:rsid w:val="00D47C57"/>
    <w:rsid w:val="00DA4BDB"/>
    <w:rsid w:val="00E42219"/>
    <w:rsid w:val="00F12F93"/>
    <w:rsid w:val="00F13242"/>
    <w:rsid w:val="00F663DD"/>
    <w:rsid w:val="00FD3A51"/>
    <w:rsid w:val="21876BE4"/>
    <w:rsid w:val="2ED87A25"/>
    <w:rsid w:val="48AF83CE"/>
    <w:rsid w:val="48B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5F34"/>
  <w15:chartTrackingRefBased/>
  <w15:docId w15:val="{E41C8379-3639-8448-B5EC-A6439EC4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6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266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266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266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266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266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266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266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266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26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B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266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2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B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26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26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C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E653A"/>
  </w:style>
  <w:style w:type="paragraph" w:styleId="Header">
    <w:name w:val="header"/>
    <w:basedOn w:val="Normal"/>
    <w:link w:val="HeaderChar"/>
    <w:uiPriority w:val="99"/>
    <w:unhideWhenUsed/>
    <w:rsid w:val="00DA4BD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4BDB"/>
  </w:style>
  <w:style w:type="paragraph" w:styleId="Footer">
    <w:name w:val="footer"/>
    <w:basedOn w:val="Normal"/>
    <w:link w:val="FooterChar"/>
    <w:uiPriority w:val="99"/>
    <w:unhideWhenUsed/>
    <w:rsid w:val="00DA4BD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1C356EA71AF4290FBD5A49F9EAE44" ma:contentTypeVersion="21" ma:contentTypeDescription="Create a new document." ma:contentTypeScope="" ma:versionID="f4fc1907ff3bd28b451d62bb342a0bc9">
  <xsd:schema xmlns:xsd="http://www.w3.org/2001/XMLSchema" xmlns:xs="http://www.w3.org/2001/XMLSchema" xmlns:p="http://schemas.microsoft.com/office/2006/metadata/properties" xmlns:ns1="http://schemas.microsoft.com/sharepoint/v3" xmlns:ns2="6dcb7222-4414-4d69-ae20-4ea8c4dd42d8" xmlns:ns3="be7cbfdb-e163-4838-91d6-1fb10646956d" targetNamespace="http://schemas.microsoft.com/office/2006/metadata/properties" ma:root="true" ma:fieldsID="efc988ab14677b20e7d066b76330b3b5" ns1:_="" ns2:_="" ns3:_="">
    <xsd:import namespace="http://schemas.microsoft.com/sharepoint/v3"/>
    <xsd:import namespace="6dcb7222-4414-4d69-ae20-4ea8c4dd42d8"/>
    <xsd:import namespace="be7cbfdb-e163-4838-91d6-1fb106469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b7222-4414-4d69-ae20-4ea8c4dd4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01bf60-3efb-45a7-b20d-7df58ac260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8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bfdb-e163-4838-91d6-1fb106469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ca9118-d0e2-427d-b140-76250d175ffe}" ma:internalName="TaxCatchAll" ma:showField="CatchAllData" ma:web="be7cbfdb-e163-4838-91d6-1fb106469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b7222-4414-4d69-ae20-4ea8c4dd42d8">
      <Terms xmlns="http://schemas.microsoft.com/office/infopath/2007/PartnerControls"/>
    </lcf76f155ced4ddcb4097134ff3c332f>
    <TaxCatchAll xmlns="be7cbfdb-e163-4838-91d6-1fb10646956d" xsi:nil="true"/>
    <_ip_UnifiedCompliancePolicyUIAction xmlns="http://schemas.microsoft.com/sharepoint/v3" xsi:nil="true"/>
    <Comments xmlns="6dcb7222-4414-4d69-ae20-4ea8c4dd42d8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C70C0-D6DC-3E41-97DB-867591A0F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9AC22-BE4F-4E3F-B9A0-CA46E5A0A534}"/>
</file>

<file path=customXml/itemProps3.xml><?xml version="1.0" encoding="utf-8"?>
<ds:datastoreItem xmlns:ds="http://schemas.openxmlformats.org/officeDocument/2006/customXml" ds:itemID="{AA0CF128-2921-4876-AE38-8B2CF2651900}"/>
</file>

<file path=customXml/itemProps4.xml><?xml version="1.0" encoding="utf-8"?>
<ds:datastoreItem xmlns:ds="http://schemas.openxmlformats.org/officeDocument/2006/customXml" ds:itemID="{3731A012-8290-44BC-8BA1-06FD4B0AC6D5}"/>
</file>

<file path=docMetadata/LabelInfo.xml><?xml version="1.0" encoding="utf-8"?>
<clbl:labelList xmlns:clbl="http://schemas.microsoft.com/office/2020/mipLabelMetadata">
  <clbl:label id="{af4cf089-3815-4472-95c0-a36d19c0dd26}" enabled="1" method="Standard" siteId="{f13968e7-4af3-4aa9-8166-6663c97e80e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Fernandez</dc:creator>
  <cp:keywords/>
  <dc:description/>
  <cp:lastModifiedBy>Manny Fernandez</cp:lastModifiedBy>
  <cp:revision>4</cp:revision>
  <dcterms:created xsi:type="dcterms:W3CDTF">2025-07-10T14:39:00Z</dcterms:created>
  <dcterms:modified xsi:type="dcterms:W3CDTF">2025-07-10T17:25:00Z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0x0101009A41C356EA71AF4290FBD5A49F9EAE44</vt:lpwstr>
  </property>
  <property fmtid="{D5CDD505-2E9C-101B-9397-08002B2CF9AE}" pid="3" name="MediaServiceImageTags">
    <vt:lpwstr/>
  </property>
</Properties>
</file>